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2E886" w14:textId="77777777" w:rsidR="00B05CD7" w:rsidRPr="00B05CD7" w:rsidRDefault="00B05CD7" w:rsidP="00B05CD7">
      <w:pPr>
        <w:spacing w:after="375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50505"/>
          <w:kern w:val="36"/>
          <w:sz w:val="32"/>
          <w:szCs w:val="32"/>
          <w:lang w:eastAsia="en-ID"/>
        </w:rPr>
      </w:pPr>
      <w:proofErr w:type="spellStart"/>
      <w:r w:rsidRPr="00B05CD7">
        <w:rPr>
          <w:rFonts w:ascii="Times New Roman" w:eastAsia="Times New Roman" w:hAnsi="Times New Roman" w:cs="Times New Roman"/>
          <w:b/>
          <w:bCs/>
          <w:color w:val="050505"/>
          <w:kern w:val="36"/>
          <w:sz w:val="32"/>
          <w:szCs w:val="32"/>
          <w:lang w:eastAsia="en-ID"/>
        </w:rPr>
        <w:t>Kolaborasi</w:t>
      </w:r>
      <w:proofErr w:type="spellEnd"/>
      <w:r w:rsidRPr="00B05CD7">
        <w:rPr>
          <w:rFonts w:ascii="Times New Roman" w:eastAsia="Times New Roman" w:hAnsi="Times New Roman" w:cs="Times New Roman"/>
          <w:b/>
          <w:bCs/>
          <w:color w:val="050505"/>
          <w:kern w:val="36"/>
          <w:sz w:val="32"/>
          <w:szCs w:val="32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b/>
          <w:bCs/>
          <w:color w:val="050505"/>
          <w:kern w:val="36"/>
          <w:sz w:val="32"/>
          <w:szCs w:val="32"/>
          <w:lang w:eastAsia="en-ID"/>
        </w:rPr>
        <w:t>Perencanaan</w:t>
      </w:r>
      <w:proofErr w:type="spellEnd"/>
      <w:r w:rsidRPr="00B05CD7">
        <w:rPr>
          <w:rFonts w:ascii="Times New Roman" w:eastAsia="Times New Roman" w:hAnsi="Times New Roman" w:cs="Times New Roman"/>
          <w:b/>
          <w:bCs/>
          <w:color w:val="050505"/>
          <w:kern w:val="36"/>
          <w:sz w:val="32"/>
          <w:szCs w:val="32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b/>
          <w:bCs/>
          <w:color w:val="050505"/>
          <w:kern w:val="36"/>
          <w:sz w:val="32"/>
          <w:szCs w:val="32"/>
          <w:lang w:eastAsia="en-ID"/>
        </w:rPr>
        <w:t>Peramalan</w:t>
      </w:r>
      <w:proofErr w:type="spellEnd"/>
      <w:r w:rsidRPr="00B05CD7">
        <w:rPr>
          <w:rFonts w:ascii="Times New Roman" w:eastAsia="Times New Roman" w:hAnsi="Times New Roman" w:cs="Times New Roman"/>
          <w:b/>
          <w:bCs/>
          <w:color w:val="050505"/>
          <w:kern w:val="36"/>
          <w:sz w:val="32"/>
          <w:szCs w:val="32"/>
          <w:lang w:eastAsia="en-ID"/>
        </w:rPr>
        <w:t xml:space="preserve"> dan </w:t>
      </w:r>
      <w:proofErr w:type="spellStart"/>
      <w:r w:rsidRPr="00B05CD7">
        <w:rPr>
          <w:rFonts w:ascii="Times New Roman" w:eastAsia="Times New Roman" w:hAnsi="Times New Roman" w:cs="Times New Roman"/>
          <w:b/>
          <w:bCs/>
          <w:color w:val="050505"/>
          <w:kern w:val="36"/>
          <w:sz w:val="32"/>
          <w:szCs w:val="32"/>
          <w:lang w:eastAsia="en-ID"/>
        </w:rPr>
        <w:t>Pengisian</w:t>
      </w:r>
      <w:proofErr w:type="spellEnd"/>
      <w:r w:rsidRPr="00B05CD7">
        <w:rPr>
          <w:rFonts w:ascii="Times New Roman" w:eastAsia="Times New Roman" w:hAnsi="Times New Roman" w:cs="Times New Roman"/>
          <w:b/>
          <w:bCs/>
          <w:color w:val="050505"/>
          <w:kern w:val="36"/>
          <w:sz w:val="32"/>
          <w:szCs w:val="32"/>
          <w:lang w:eastAsia="en-ID"/>
        </w:rPr>
        <w:t xml:space="preserve"> Kembali </w:t>
      </w:r>
      <w:proofErr w:type="spellStart"/>
      <w:r w:rsidRPr="00B05CD7">
        <w:rPr>
          <w:rFonts w:ascii="Times New Roman" w:eastAsia="Times New Roman" w:hAnsi="Times New Roman" w:cs="Times New Roman"/>
          <w:b/>
          <w:bCs/>
          <w:color w:val="050505"/>
          <w:kern w:val="36"/>
          <w:sz w:val="32"/>
          <w:szCs w:val="32"/>
          <w:lang w:eastAsia="en-ID"/>
        </w:rPr>
        <w:t>Persediaan</w:t>
      </w:r>
      <w:proofErr w:type="spellEnd"/>
      <w:r w:rsidRPr="00B05CD7">
        <w:rPr>
          <w:rFonts w:ascii="Times New Roman" w:eastAsia="Times New Roman" w:hAnsi="Times New Roman" w:cs="Times New Roman"/>
          <w:b/>
          <w:bCs/>
          <w:color w:val="050505"/>
          <w:kern w:val="36"/>
          <w:sz w:val="32"/>
          <w:szCs w:val="32"/>
          <w:lang w:eastAsia="en-ID"/>
        </w:rPr>
        <w:t xml:space="preserve"> (CPRF)</w:t>
      </w:r>
    </w:p>
    <w:p w14:paraId="50EC6F3D" w14:textId="77777777" w:rsidR="00B05CD7" w:rsidRPr="00B05CD7" w:rsidRDefault="00B05CD7" w:rsidP="00B05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5DF0E32E" w14:textId="4BD1F68D" w:rsidR="00B05CD7" w:rsidRPr="00B05CD7" w:rsidRDefault="00B05CD7" w:rsidP="00B05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Kondisi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dwelling time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 di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pelabuhan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Indonesia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masih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jauh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tertinggal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negara-negara ASEAN,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sangat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menjadi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perhatian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pemerintah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salah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satu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harus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segera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perbaiki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sangat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berpengaruh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biaya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logistik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Indonesia, salah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satu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isu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menjadi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alasan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penyebab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lamanya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proses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dwelling time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 di Pelabuhan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Tanjung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Priok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adanya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importir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nakal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sengaja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menunda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penyelesaian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importasi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ada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ruang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menampung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tambahan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datang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inbound supply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),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terpaksa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mereka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menyimpan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kontainer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dipelabuhan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sampai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mereka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mendapatkan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ruang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kosong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gudang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proofErr w:type="gram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Apakah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 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tudingan</w:t>
      </w:r>
      <w:proofErr w:type="spellEnd"/>
      <w:proofErr w:type="gram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valid?,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bagaimana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bisa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terjadi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bagaimana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megatasi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masalah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?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Importir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dimakasudkan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proofErr w:type="gram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atas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 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umumnya</w:t>
      </w:r>
      <w:proofErr w:type="spellEnd"/>
      <w:proofErr w:type="gram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dialamatkan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kepada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importir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non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produsen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 yang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bergerak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bidang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penjualan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retail.</w:t>
      </w:r>
    </w:p>
    <w:p w14:paraId="7D483911" w14:textId="77777777" w:rsidR="00B05CD7" w:rsidRPr="00B05CD7" w:rsidRDefault="00B05CD7" w:rsidP="00B05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Importir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non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produsen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bertindak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distributor (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agent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)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produsen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/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seller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satu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pemegang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merek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praktek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pembelian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layanan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private </w:t>
      </w:r>
      <w:proofErr w:type="spellStart"/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labeling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para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produsen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proofErr w:type="gram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bertindak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 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sebagi</w:t>
      </w:r>
      <w:proofErr w:type="spellEnd"/>
      <w:proofErr w:type="gram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principal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 yang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terikat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suatu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perjanjian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distributorship agreement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Salah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satu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klausul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perjanjian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proofErr w:type="gram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 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mensyaratkan</w:t>
      </w:r>
      <w:proofErr w:type="spellEnd"/>
      <w:proofErr w:type="gram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purchase order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diatur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model “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requirement contract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”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“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input contract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“.</w:t>
      </w:r>
    </w:p>
    <w:p w14:paraId="56C24DD1" w14:textId="77777777" w:rsidR="00B05CD7" w:rsidRPr="00B05CD7" w:rsidRDefault="00B05CD7" w:rsidP="00B05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model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purchase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“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input </w:t>
      </w:r>
      <w:proofErr w:type="gramStart"/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contract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“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pihak</w:t>
      </w:r>
      <w:proofErr w:type="spellEnd"/>
      <w:proofErr w:type="gram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distributor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berkewajiban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membeli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semua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di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produksi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pihak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principal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 dan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sebaliknya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bila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“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requirement contract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“ .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penentuan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model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purchase order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 yang mana yang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dipakai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bergantung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kepada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kesepakatan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antara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kedua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belah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pihak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praktek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bisnis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kesepakatan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ditentukan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sudut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kepentingan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kedua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belah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pihak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trademark contract distributorship agreement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umumnya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pihak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distributor (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agent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)/</w:t>
      </w:r>
      <w:proofErr w:type="spellStart"/>
      <w:proofErr w:type="gramStart"/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buyer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lah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 yang</w:t>
      </w:r>
      <w:proofErr w:type="gram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menawarkan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menjadi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distributor brand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/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trade mark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 ,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begitu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juga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pembelian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model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private </w:t>
      </w:r>
      <w:proofErr w:type="spellStart"/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labeling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pihak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trade mark owner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/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producer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/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principal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/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seller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meminta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contract purchase order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model “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input </w:t>
      </w:r>
      <w:proofErr w:type="gramStart"/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contract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“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dimana</w:t>
      </w:r>
      <w:proofErr w:type="spellEnd"/>
      <w:proofErr w:type="gram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konsekuensinya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pihak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distributor/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agent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/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buyer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harus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menerima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semua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di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produksi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pihak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principal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/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producer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/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seller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 yang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diharapkan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mampu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 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memasarkan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produknya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/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membeli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produknya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apapun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di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produksi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/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dijual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model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contract purchase order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model “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input order</w:t>
      </w:r>
      <w:proofErr w:type="gram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”,  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pihak</w:t>
      </w:r>
      <w:proofErr w:type="spellEnd"/>
      <w:proofErr w:type="gram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distributor/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agent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/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buyer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sering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mengalami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masalah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menentukan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product category assortment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 yang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bisa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mengakibatkan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over supply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77302284" w14:textId="77777777" w:rsidR="00B05CD7" w:rsidRPr="00B05CD7" w:rsidRDefault="00B05CD7" w:rsidP="00B05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Pihak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principal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kategori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produknya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boleh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jadi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diketahui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pihak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distributor,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misal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pihak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principal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 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mengirimkan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satu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penunjang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tertentu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diluar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main brand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/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trade </w:t>
      </w:r>
      <w:proofErr w:type="spellStart"/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mark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nya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contoh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sepatu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pihak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principal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mengirimkan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cairan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pemeliharaan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sepatu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semacam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semir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cair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product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sesuai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ketentuan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bea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cukai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harus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memiliki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ijin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edar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PKRT,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pihak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principal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/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owner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mengetahui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tentang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aturan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terkait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disisi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lain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pihak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distributor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memiliki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ijin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edar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bila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order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dikirim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sudah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dipastikan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proses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penyelesaian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kepabeanannya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 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bermasalah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dan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sudah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pasti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menimbulkan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long dwelling time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pihak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importir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harus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mengurus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ijin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re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–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export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Misal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lain,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pembelian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>model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private </w:t>
      </w:r>
      <w:proofErr w:type="spellStart"/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labeling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pihak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penjual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mendorong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produknya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terkirim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ke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pihak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seller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sementar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seller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memiliki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kurang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memiliki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  yang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memadai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mengenai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siklus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perputaran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unit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ketersediaannya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(SKU)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internal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kurang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bahkan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mengetahui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mana yang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harus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re-order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replenishment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saat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barang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tiba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tersedia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ruang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cukup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menampung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inbound supply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keadaan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seperti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ada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opsi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lain yang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diambil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kecuali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menunda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proses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pengeluaran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barang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pelabuhan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dibanding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harus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menyimpan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over flow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 di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tempat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lain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operasional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cost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lebih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menyulitkan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lebih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besar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dibanding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disimpan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kontainer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sementara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menunggu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ruang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gudang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tersedia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. </w:t>
      </w:r>
    </w:p>
    <w:p w14:paraId="0CA908C2" w14:textId="77777777" w:rsidR="00B05CD7" w:rsidRPr="00B05CD7" w:rsidRDefault="00B05CD7" w:rsidP="00B05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Hal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tentu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saja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mengakibatkan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biaya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logistik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tinggi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selalu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menjadi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masalah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proofErr w:type="gram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efisiensi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 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proofErr w:type="gram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,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cost logistics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dan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cost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transportasi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proofErr w:type="gram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 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mengatasi</w:t>
      </w:r>
      <w:proofErr w:type="spellEnd"/>
      <w:proofErr w:type="gram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masalah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disebutkan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atas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pihak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distributor/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agent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/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buyer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harus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melakukan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suatu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pendekatan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pihak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owner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/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producer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/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seller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 agar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bisa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saling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memahami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kebutuhan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masing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masing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Salah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satu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pendekatan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mengatasi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masalah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atas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proofErr w:type="gram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menerapkan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 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Kolaborasi</w:t>
      </w:r>
      <w:proofErr w:type="spellEnd"/>
      <w:proofErr w:type="gram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Perencanaan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peramalan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pengisian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kembali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(CPFR). </w:t>
      </w:r>
      <w:proofErr w:type="gram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CPFR  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proofErr w:type="gram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suatu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usaha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menggabungkan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upaya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mitra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usaha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trading partners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)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perencanaan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pemenuhan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kebutuhan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permintaan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pelanggan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tujuan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meningkatkan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efisiensi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keseluruhan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rantai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agar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menghasilakan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efisiensi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memenuhi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permintaan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client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 dan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efisiensi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biaya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logistik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biaya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transportasi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Cara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mulai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dikembangkan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sekitar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tahun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2001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garis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besar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Kolaborasi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Perencanaan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peramalan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pengisian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kembali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menuntut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adanya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kordinasi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antar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pihak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Retailer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,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buyer 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(distributor) dan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seller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(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producer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/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principal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) yang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dimulai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tahap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perencanaan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peramalan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pelaksanaan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analisa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pelaksanaanya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singkat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Kolaborasi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Perencanaan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peramalan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pengisian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kembali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(CPFR)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digambarkan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proofErr w:type="gram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berikut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:</w:t>
      </w:r>
      <w:proofErr w:type="gramEnd"/>
    </w:p>
    <w:p w14:paraId="4BC1B60B" w14:textId="77777777" w:rsidR="00B05CD7" w:rsidRPr="00B05CD7" w:rsidRDefault="00B05CD7" w:rsidP="00B05C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Tahap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perencanaan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bersama-sama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kedua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belah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pihak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bisa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melakukan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perencanaan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bisnis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bersama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sama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menentukan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tujuan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target.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Infomasi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dimulai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level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retails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store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dimana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pergerakan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langsung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didapat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titik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penjualan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(POS), data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diolah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melihat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mana yang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siklus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persediaannya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tinggi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kemudian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dikatagorisasi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menentukan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urutan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proofErr w:type="gram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sebarannya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,</w:t>
      </w:r>
      <w:proofErr w:type="gram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selanjutnya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ditentukan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mana yang (SKU)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tinggi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siklus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perputarannya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memiliki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sebaran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terbesar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6171AD58" w14:textId="77777777" w:rsidR="00B05CD7" w:rsidRPr="00B05CD7" w:rsidRDefault="00B05CD7" w:rsidP="00B05C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Data yang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telah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diolah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selanjutnya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dijadikan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acuan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melakukan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peramalan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penjualan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sales </w:t>
      </w:r>
      <w:proofErr w:type="spellStart"/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forcasting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) dan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peramalan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pemesanan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order </w:t>
      </w:r>
      <w:proofErr w:type="spellStart"/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forcasting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).</w:t>
      </w:r>
    </w:p>
    <w:p w14:paraId="6113F1A4" w14:textId="77777777" w:rsidR="00B05CD7" w:rsidRPr="00B05CD7" w:rsidRDefault="00B05CD7" w:rsidP="00B05C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Peramalan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penjualan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peramalan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pemesanan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selanjutnya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diturunkan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menjadi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pemesanan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pelaksanaa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pemesanan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552A1743" w14:textId="77777777" w:rsidR="00B05CD7" w:rsidRPr="00B05CD7" w:rsidRDefault="00B05CD7" w:rsidP="00B05C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Tahap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terakhir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proses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analisa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proses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diatas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menetukan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langkah-langkah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diperlukan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terjadi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perubahan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termasuk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diantaranya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batasan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batasan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logistik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logistics restriction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) yang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mengakibatkan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ganguan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proses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supply chain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4ACB5AC1" w14:textId="77777777" w:rsidR="00B05CD7" w:rsidRPr="00B05CD7" w:rsidRDefault="00B05CD7" w:rsidP="00B05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Ke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empat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langkah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proses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Kolaborasi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Perencanaan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peramalan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pengisian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kembali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(CPFR),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terus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menerus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 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interaksi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intensive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antar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para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mitra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usaha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mampu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mengantisipasi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berbagai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kendala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menghambat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kelancaran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kolaborasi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 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menggangu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proses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rantai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pasok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keseluruhan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Akan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tetapi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Kolaborasi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Perencanaan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peramalan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pengisian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kembali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(CPFR), 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bisa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 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cara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manual,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melainkan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harus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satu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sistem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informasi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>secara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terpadu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melibatkan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mitra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uasaha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 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yaitu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antar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retailer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/distributor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satu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supplier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beberapa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supplier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766569CA" w14:textId="77777777" w:rsidR="00B05CD7" w:rsidRPr="00B05CD7" w:rsidRDefault="00B05CD7" w:rsidP="00B05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Para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pihak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terlibat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pun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harus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ada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keterbukaan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saling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menutupi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hanya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menghambat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proses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kolaborasi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tentu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saling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merugikan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antara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para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mitra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2B9855C2" w14:textId="77777777" w:rsidR="00B05CD7" w:rsidRPr="00B05CD7" w:rsidRDefault="00B05CD7" w:rsidP="00B05CD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menerapkan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Kolaborasi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Perencanaan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peramalan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pengisian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kembali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persediaan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(CPFR),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terjalin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satu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koordinasi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saling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kesepahaman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baik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antar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mitra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bisnis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ada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pihak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merasa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dirugikan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/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dibebankan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sudah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saling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mengerti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antara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kebutuhan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satu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lain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hubungan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bisnis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lebih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sustainable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dan yang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utama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tercipta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efisiensi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keseluruhan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rantai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pasok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pada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gilirannya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mengurangi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stock idle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/</w:t>
      </w:r>
      <w:proofErr w:type="spellStart"/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over supply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mengurangi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biaya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logistik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biaya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transportasi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pada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saat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sama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mampu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memberikan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respsonse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perubahan-perubahan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permintaan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timbul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permintaan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pasar,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perubahan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trend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 pasar yang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disebakan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internal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maupun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external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rantai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pasokan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juga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mampu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mengabaikan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tudingan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dialamatkan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kepada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para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importir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salah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satu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penyebab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B05CD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long dwelling time</w:t>
      </w:r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 di Pelabuhan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Tanjung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Priok</w:t>
      </w:r>
      <w:proofErr w:type="spellEnd"/>
      <w:r w:rsidRPr="00B05CD7">
        <w:rPr>
          <w:rFonts w:ascii="Times New Roman" w:eastAsia="Times New Roman" w:hAnsi="Times New Roman" w:cs="Times New Roman"/>
          <w:sz w:val="24"/>
          <w:szCs w:val="24"/>
          <w:lang w:eastAsia="en-ID"/>
        </w:rPr>
        <w:t>.  </w:t>
      </w:r>
    </w:p>
    <w:p w14:paraId="750D98AA" w14:textId="471F988A" w:rsidR="006077AA" w:rsidRPr="00B05CD7" w:rsidRDefault="006077AA" w:rsidP="00B05CD7">
      <w:pPr>
        <w:jc w:val="both"/>
        <w:rPr>
          <w:rFonts w:ascii="Times New Roman" w:hAnsi="Times New Roman" w:cs="Times New Roman"/>
        </w:rPr>
      </w:pPr>
    </w:p>
    <w:p w14:paraId="222BCFEF" w14:textId="05D4C996" w:rsidR="00B05CD7" w:rsidRPr="00B05CD7" w:rsidRDefault="00B05CD7" w:rsidP="00B05CD7">
      <w:pPr>
        <w:jc w:val="both"/>
        <w:rPr>
          <w:rFonts w:ascii="Times New Roman" w:hAnsi="Times New Roman" w:cs="Times New Roman"/>
        </w:rPr>
      </w:pPr>
    </w:p>
    <w:p w14:paraId="4F463717" w14:textId="77777777" w:rsidR="00B05CD7" w:rsidRPr="00B05CD7" w:rsidRDefault="00B05CD7" w:rsidP="00B05CD7">
      <w:pPr>
        <w:jc w:val="both"/>
        <w:rPr>
          <w:rFonts w:ascii="Times New Roman" w:hAnsi="Times New Roman" w:cs="Times New Roman"/>
        </w:rPr>
      </w:pPr>
    </w:p>
    <w:sectPr w:rsidR="00B05CD7" w:rsidRPr="00B05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516DAA"/>
    <w:multiLevelType w:val="multilevel"/>
    <w:tmpl w:val="B82C0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D7"/>
    <w:rsid w:val="006077AA"/>
    <w:rsid w:val="00B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215D"/>
  <w15:chartTrackingRefBased/>
  <w15:docId w15:val="{5AC754DE-C721-4190-AAA1-EF2BDE91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5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Emphasis">
    <w:name w:val="Emphasis"/>
    <w:basedOn w:val="DefaultParagraphFont"/>
    <w:uiPriority w:val="20"/>
    <w:qFormat/>
    <w:rsid w:val="00B05CD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05CD7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1242</Words>
  <Characters>7083</Characters>
  <Application>Microsoft Office Word</Application>
  <DocSecurity>0</DocSecurity>
  <Lines>59</Lines>
  <Paragraphs>16</Paragraphs>
  <ScaleCrop>false</ScaleCrop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 power</dc:creator>
  <cp:keywords/>
  <dc:description/>
  <cp:lastModifiedBy>3g power</cp:lastModifiedBy>
  <cp:revision>1</cp:revision>
  <dcterms:created xsi:type="dcterms:W3CDTF">2021-04-15T16:12:00Z</dcterms:created>
  <dcterms:modified xsi:type="dcterms:W3CDTF">2021-04-15T16:13:00Z</dcterms:modified>
</cp:coreProperties>
</file>