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5" w:rsidRPr="003D4525" w:rsidRDefault="003D4525" w:rsidP="003D4525">
      <w:pPr>
        <w:spacing w:after="255" w:line="720" w:lineRule="atLeast"/>
        <w:jc w:val="center"/>
        <w:outlineLvl w:val="0"/>
        <w:rPr>
          <w:rFonts w:ascii="Lucida Sans Unicode" w:eastAsia="Times New Roman" w:hAnsi="Lucida Sans Unicode" w:cs="Lucida Sans Unicode"/>
          <w:color w:val="353535"/>
          <w:kern w:val="36"/>
          <w:sz w:val="60"/>
          <w:szCs w:val="60"/>
          <w:lang w:val="en-GB"/>
        </w:rPr>
      </w:pPr>
      <w:proofErr w:type="spellStart"/>
      <w:r w:rsidRPr="003D4525">
        <w:rPr>
          <w:rFonts w:ascii="Lucida Sans Unicode" w:eastAsia="Times New Roman" w:hAnsi="Lucida Sans Unicode" w:cs="Lucida Sans Unicode"/>
          <w:color w:val="353535"/>
          <w:kern w:val="36"/>
          <w:sz w:val="60"/>
          <w:szCs w:val="60"/>
          <w:lang w:val="en-GB"/>
        </w:rPr>
        <w:t>Kendali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kern w:val="36"/>
          <w:sz w:val="60"/>
          <w:szCs w:val="60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kern w:val="36"/>
          <w:sz w:val="60"/>
          <w:szCs w:val="60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kern w:val="36"/>
          <w:sz w:val="60"/>
          <w:szCs w:val="60"/>
          <w:lang w:val="en-GB"/>
        </w:rPr>
        <w:t xml:space="preserve"> &amp;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kern w:val="36"/>
          <w:sz w:val="60"/>
          <w:szCs w:val="60"/>
          <w:lang w:val="en-GB"/>
        </w:rPr>
        <w:t>Kendali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kern w:val="36"/>
          <w:sz w:val="60"/>
          <w:szCs w:val="60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kern w:val="36"/>
          <w:sz w:val="60"/>
          <w:szCs w:val="60"/>
          <w:lang w:val="en-GB"/>
        </w:rPr>
        <w:t>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kern w:val="36"/>
          <w:sz w:val="60"/>
          <w:szCs w:val="60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kern w:val="36"/>
          <w:sz w:val="60"/>
          <w:szCs w:val="60"/>
          <w:lang w:val="en-GB"/>
        </w:rPr>
        <w:t>dalam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kern w:val="36"/>
          <w:sz w:val="60"/>
          <w:szCs w:val="60"/>
          <w:lang w:val="en-GB"/>
        </w:rPr>
        <w:t xml:space="preserve"> Managed Care </w:t>
      </w:r>
    </w:p>
    <w:p w:rsidR="003D4525" w:rsidRPr="003D4525" w:rsidRDefault="003D4525" w:rsidP="003D4525">
      <w:pPr>
        <w:spacing w:after="188" w:line="375" w:lineRule="atLeast"/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</w:pPr>
      <w:proofErr w:type="spellStart"/>
      <w:proofErr w:type="gramStart"/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Oleh</w:t>
      </w:r>
      <w:proofErr w:type="spellEnd"/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 xml:space="preserve"> :</w:t>
      </w:r>
      <w:proofErr w:type="gramEnd"/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 xml:space="preserve"> Christina Maria Aden MPH</w:t>
      </w:r>
    </w:p>
    <w:p w:rsidR="003D4525" w:rsidRPr="003D4525" w:rsidRDefault="003D4525" w:rsidP="003D4525">
      <w:pPr>
        <w:spacing w:after="188" w:line="375" w:lineRule="atLeast"/>
        <w:jc w:val="both"/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</w:pP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Penyelenggaraan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jaminan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menggunakan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prinsip-prinsip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managed care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yaitu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suatu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teknik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mengintegrasikan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pembiayaan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melalui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penerapan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kendali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kendali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bertujuan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untuk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mengurangi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tidak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perlu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proofErr w:type="gram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cara</w:t>
      </w:r>
      <w:proofErr w:type="spellEnd"/>
      <w:proofErr w:type="gram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meningkatkan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kelayakan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efisiensi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Mukti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2009).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Managed care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bertujuan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untuk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memberi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bermutu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tinggi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bersaing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Kongstvedt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2000).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Teknik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managed care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dimaksudkan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untuk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meniadakan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moral hazard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dalam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dapat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mengakibatkan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kerugian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kesejahteraan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masyarakat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.</w:t>
      </w:r>
    </w:p>
    <w:p w:rsidR="003D4525" w:rsidRPr="003D4525" w:rsidRDefault="003D4525" w:rsidP="003D4525">
      <w:pPr>
        <w:spacing w:after="188" w:line="375" w:lineRule="atLeast"/>
        <w:jc w:val="both"/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</w:pP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Organisasi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managed care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mempunyai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ciri-ciri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menjalin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kontrak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penyedia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(PPK),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pembayaran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pra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upaya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utilization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berjenjang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program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jaminan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kesesuaian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ganti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rugi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jasa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dokter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bookmarkStart w:id="0" w:name="_GoBack"/>
      <w:bookmarkEnd w:id="0"/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rumah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sakit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Health Insurance Association of America, 2008a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).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Pengendalian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proofErr w:type="gram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cara</w:t>
      </w:r>
      <w:proofErr w:type="spellEnd"/>
      <w:proofErr w:type="gram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managed care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dilakukan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dari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dua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sisi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yaitu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dari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sisi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PPK (supply)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dari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sisi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peserta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sisi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demand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).</w:t>
      </w:r>
    </w:p>
    <w:p w:rsidR="003D4525" w:rsidRPr="003D4525" w:rsidRDefault="003D4525" w:rsidP="003D4525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</w:pP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Kendali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dari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sisi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PPK (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supply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)</w:t>
      </w:r>
    </w:p>
    <w:p w:rsidR="003D4525" w:rsidRPr="003D4525" w:rsidRDefault="003D4525" w:rsidP="003D4525">
      <w:pPr>
        <w:numPr>
          <w:ilvl w:val="1"/>
          <w:numId w:val="1"/>
        </w:numPr>
        <w:spacing w:before="100" w:beforeAutospacing="1" w:after="100" w:afterAutospacing="1" w:line="375" w:lineRule="atLeast"/>
        <w:ind w:left="375"/>
        <w:jc w:val="both"/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</w:pP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Metode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pembayaran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fasilitas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.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br/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Menurut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Liu &amp; Mills (2007),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metode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pembayaran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PPK yang ideal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hendaknya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mampu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mendorong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arah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kendali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jaminan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efisiensi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internal.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Selain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itu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disertai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tidak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memberikan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insentif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kepada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PPK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memberikan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berlebihan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atau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bahkan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sebaliknya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dibawah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standar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.</w:t>
      </w:r>
    </w:p>
    <w:p w:rsidR="003D4525" w:rsidRPr="003D4525" w:rsidRDefault="003D4525" w:rsidP="003D4525">
      <w:pPr>
        <w:numPr>
          <w:ilvl w:val="1"/>
          <w:numId w:val="1"/>
        </w:numPr>
        <w:spacing w:before="100" w:beforeAutospacing="1" w:after="100" w:afterAutospacing="1" w:line="375" w:lineRule="atLeast"/>
        <w:ind w:left="375"/>
        <w:jc w:val="both"/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</w:pP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Utilization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. 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br/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Utilization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merupakan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suatu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metode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untuk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menjamin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terkait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penghematan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Mekanisme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pengendalian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utilization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memeriksa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apakah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secara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medis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perlu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diberikan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apakah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diberikan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secara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tepat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.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Utilization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memiliki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keuntungan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lastRenderedPageBreak/>
        <w:t>jelas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telah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dipraktekkan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oleh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banyak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perusahaan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asuransi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yaitu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mengevaluasi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ketepatan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penggunaan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agar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menghilangkan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mengurangi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hal-hal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tidak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perlu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serta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resiko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potensial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pasien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.</w:t>
      </w:r>
    </w:p>
    <w:p w:rsidR="003D4525" w:rsidRPr="003D4525" w:rsidRDefault="003D4525" w:rsidP="003D4525">
      <w:pPr>
        <w:numPr>
          <w:ilvl w:val="1"/>
          <w:numId w:val="1"/>
        </w:numPr>
        <w:spacing w:before="100" w:beforeAutospacing="1" w:after="100" w:afterAutospacing="1" w:line="375" w:lineRule="atLeast"/>
        <w:ind w:left="375"/>
        <w:jc w:val="both"/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</w:pP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Standarisasi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. 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br/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Upaya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untuk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melakukan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kendali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sekaligus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kendali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adalah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menerapkan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suatu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standarisasi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. Salah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satu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bentuk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standarisasi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adalah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dalam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bentuk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formularium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obat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Obat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merupakan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komoditi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menarik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dari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industri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rumah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sakit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Obat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bahkan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mencapai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lebih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dari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40 %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komponen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Peningkatan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bisa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disebabkan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karena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pemakaian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obat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diluar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formularium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telah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disepakati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Adipratikto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2004).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Kondisi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ini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diperparah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kondisi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dokter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kurang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peduli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harga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obat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diresepkan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seringkali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merasa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tidak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cocok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formularium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berlaku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(khan et al, 2008).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Formularium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obat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merupakan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suatu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daftar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obat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disediakan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untuk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memebuhi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kebutuhan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medis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jenis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obat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dinilai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lebih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efektif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lebih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efisien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Kongstvedt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2009).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Nama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obat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tercantum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dalam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formularium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adalah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proofErr w:type="gram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nama</w:t>
      </w:r>
      <w:proofErr w:type="spellEnd"/>
      <w:proofErr w:type="gram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generik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Saat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ini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pemanfaatan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obat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generik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di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rumah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sakit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pemerintah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belum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mencapai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76 % (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Depkes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2009b).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Kewajiban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menggunakan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obat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generik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pada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PPK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milik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pemerintah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diatur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dalam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Peraturan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menteri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no HK 02.02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Tahun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2010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tentang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kewajiban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menggunakan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obat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generik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di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fasilitas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pemerintah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kemenkes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, 2010)</w:t>
      </w:r>
    </w:p>
    <w:p w:rsidR="003D4525" w:rsidRPr="003D4525" w:rsidRDefault="003D4525" w:rsidP="003D4525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</w:pP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Kendali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. 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br/>
        <w:t xml:space="preserve">Perusahaan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asuransi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pembayar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penanggung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memiliki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persepsi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berbeda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tentang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bermutu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Bagi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suatu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penjamin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bermutu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adalah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efisien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dapat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memberikan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kepuasan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kepada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pasien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Sedangkan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pengertian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secara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luas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komprehensif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dari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Cosby (1984),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Donabedian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(1980)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Zeithaml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e al (1990)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adalah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sejauh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mana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realisasi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diberikan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sesuai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kriteria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standar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profesional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medis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terkini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baik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sekaligus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telah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memenuhi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atau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bahkan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melebihi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kebutuhan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keinginan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pelanggan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tingkat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efisiensi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optimal (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Mukti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, 2007).</w:t>
      </w:r>
    </w:p>
    <w:p w:rsidR="003D4525" w:rsidRPr="003D4525" w:rsidRDefault="003D4525" w:rsidP="003D4525">
      <w:pPr>
        <w:spacing w:after="188" w:line="375" w:lineRule="atLeast"/>
        <w:jc w:val="both"/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</w:pP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Menurut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Brown et al (1990)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merupakan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fenomena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komprehensif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multi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faset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memiliki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beberapa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dimensi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dalam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menjaga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yaitu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kompetensi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lastRenderedPageBreak/>
        <w:t>teknis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akses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terhadap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efektifitas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hubungan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antar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manusia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efisiensi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kelangsungan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keamanan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kenyamanan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Diantara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8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dimensi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tersebut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efisiensi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merupakan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dimensi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penting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karena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efisiensi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proofErr w:type="gram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akan</w:t>
      </w:r>
      <w:proofErr w:type="spellEnd"/>
      <w:proofErr w:type="gram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mempengaruhi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hasil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apalagi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sumber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pada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umumnya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terbatas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.</w:t>
      </w:r>
    </w:p>
    <w:p w:rsidR="003D4525" w:rsidRPr="003D4525" w:rsidRDefault="003D4525" w:rsidP="003D4525">
      <w:pPr>
        <w:spacing w:after="188" w:line="375" w:lineRule="atLeast"/>
        <w:jc w:val="both"/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</w:pP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Menurut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Mukti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(2007)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terdapat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beberapa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aktifitas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dapat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dilakukan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untuk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pencapaian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diantaranya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manajemen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risiko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utilization </w:t>
      </w:r>
      <w:proofErr w:type="gram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review</w:t>
      </w:r>
      <w:proofErr w:type="gram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(UR),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peer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indikator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prosedur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tetap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audit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medis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clinical pathway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algoritma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.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Bagi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penjamin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aktivitas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biasa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dilakukan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untuk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pencapaian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adalah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melalui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utilization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.</w:t>
      </w:r>
    </w:p>
    <w:p w:rsidR="003D4525" w:rsidRPr="003D4525" w:rsidRDefault="003D4525" w:rsidP="003D4525">
      <w:pPr>
        <w:spacing w:after="188" w:line="375" w:lineRule="atLeast"/>
        <w:jc w:val="both"/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</w:pPr>
      <w:proofErr w:type="spellStart"/>
      <w:proofErr w:type="gram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Berdasarkan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waktu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pelaksanaannya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UR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dapat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dikelompokkan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menjadi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Prospective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Consurrent</w:t>
      </w:r>
      <w:proofErr w:type="spellEnd"/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 xml:space="preserve">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Retrospektif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(HIAA, 2008).</w:t>
      </w:r>
      <w:proofErr w:type="gram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gramStart"/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Prospective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merupakan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UR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digunakan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untuk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menentukan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kebutuhan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dilakukan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sebelum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diberikan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utamanya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untuk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penggunaan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di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rumah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sakit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.</w:t>
      </w:r>
      <w:proofErr w:type="gram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Beberapa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proofErr w:type="gram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cara</w:t>
      </w:r>
      <w:proofErr w:type="spellEnd"/>
      <w:proofErr w:type="gram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kajian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jenis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ini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adalah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case management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preadmission certification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 xml:space="preserve">outpatient </w:t>
      </w:r>
      <w:proofErr w:type="spellStart"/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presertification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referral authorization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and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second opinion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Kongstvedt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, 2009). </w:t>
      </w:r>
      <w:proofErr w:type="gramStart"/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Concurrent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merupakan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UR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dilakukan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ketika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diberikan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kepada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pasien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.</w:t>
      </w:r>
      <w:proofErr w:type="gram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Tekniknya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digunakan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adalah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menilai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Length of stayed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(LOS),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Discharge planning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continued stay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. </w:t>
      </w:r>
      <w:proofErr w:type="gramStart"/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Retrospective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adalah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UR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dilakukan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setelah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diberikan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kepada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pasien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.</w:t>
      </w:r>
      <w:proofErr w:type="gram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Retrospective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umumnya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dilakukan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claim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pattern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. </w:t>
      </w:r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Claim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merupakan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kajian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terhadap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klaim</w:t>
      </w:r>
      <w:proofErr w:type="gram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:apakah</w:t>
      </w:r>
      <w:proofErr w:type="spellEnd"/>
      <w:proofErr w:type="gram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klaim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sesuai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dengan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paket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manfaat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yang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disepakati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atau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apakah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ada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kekeliruan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pada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klaim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. </w:t>
      </w:r>
      <w:proofErr w:type="gramStart"/>
      <w:r w:rsidRPr="003D4525">
        <w:rPr>
          <w:rFonts w:ascii="Lucida Sans Unicode" w:eastAsia="Times New Roman" w:hAnsi="Lucida Sans Unicode" w:cs="Lucida Sans Unicode"/>
          <w:i/>
          <w:iCs/>
          <w:color w:val="434142"/>
          <w:sz w:val="23"/>
          <w:szCs w:val="23"/>
          <w:lang w:val="en-GB"/>
        </w:rPr>
        <w:t>Pattern review</w:t>
      </w:r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melakukan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kajian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terhadap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pola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pemanfaatan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sehingga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diperoleh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pola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pemanfaatan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oleh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peserta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PPK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serta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pembiayaan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pada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msing-masing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unit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Penyedia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Hendrartini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, 2010b).</w:t>
      </w:r>
      <w:proofErr w:type="gram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Salah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satu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indikator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dalam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UR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adalah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kepuasan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pasien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(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Hendrartini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, 2009b)</w:t>
      </w:r>
    </w:p>
    <w:p w:rsidR="003D4525" w:rsidRPr="003D4525" w:rsidRDefault="003D4525" w:rsidP="003D4525">
      <w:pPr>
        <w:spacing w:after="188" w:line="375" w:lineRule="atLeast"/>
        <w:jc w:val="both"/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</w:pPr>
      <w:proofErr w:type="spellStart"/>
      <w:proofErr w:type="gramStart"/>
      <w:r w:rsidRPr="003D4525">
        <w:rPr>
          <w:rFonts w:ascii="Lucida Sans Unicode" w:eastAsia="Times New Roman" w:hAnsi="Lucida Sans Unicode" w:cs="Lucida Sans Unicode"/>
          <w:b/>
          <w:bCs/>
          <w:color w:val="353535"/>
          <w:sz w:val="23"/>
          <w:szCs w:val="23"/>
          <w:lang w:val="en-GB"/>
        </w:rPr>
        <w:t>Referensi</w:t>
      </w:r>
      <w:proofErr w:type="spellEnd"/>
      <w:r w:rsidRPr="003D4525">
        <w:rPr>
          <w:rFonts w:ascii="Lucida Sans Unicode" w:eastAsia="Times New Roman" w:hAnsi="Lucida Sans Unicode" w:cs="Lucida Sans Unicode"/>
          <w:b/>
          <w:bCs/>
          <w:color w:val="353535"/>
          <w:sz w:val="23"/>
          <w:szCs w:val="23"/>
          <w:lang w:val="en-GB"/>
        </w:rPr>
        <w:t xml:space="preserve"> :</w:t>
      </w:r>
      <w:proofErr w:type="gramEnd"/>
    </w:p>
    <w:p w:rsidR="003D4525" w:rsidRPr="003D4525" w:rsidRDefault="003D4525" w:rsidP="003D4525">
      <w:pPr>
        <w:spacing w:after="188" w:line="375" w:lineRule="atLeast"/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</w:pPr>
      <w:proofErr w:type="gram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lastRenderedPageBreak/>
        <w:t xml:space="preserve">Christina, M (2012)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Implementasi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kendali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biaya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kendali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mutu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pelayanan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program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jaminan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kesehatan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daerah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Kutai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Kartanegara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di RSUD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Parikesit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Tenggarong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.</w:t>
      </w:r>
      <w:proofErr w:type="gram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proofErr w:type="gram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Tesis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.</w:t>
      </w:r>
      <w:proofErr w:type="gram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Universitas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Gadjah</w:t>
      </w:r>
      <w:proofErr w:type="spellEnd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 xml:space="preserve"> </w:t>
      </w:r>
      <w:proofErr w:type="spellStart"/>
      <w:r w:rsidRPr="003D4525">
        <w:rPr>
          <w:rFonts w:ascii="Lucida Sans Unicode" w:eastAsia="Times New Roman" w:hAnsi="Lucida Sans Unicode" w:cs="Lucida Sans Unicode"/>
          <w:color w:val="353535"/>
          <w:sz w:val="23"/>
          <w:szCs w:val="23"/>
          <w:lang w:val="en-GB"/>
        </w:rPr>
        <w:t>Mada</w:t>
      </w:r>
      <w:proofErr w:type="spellEnd"/>
    </w:p>
    <w:p w:rsidR="007A3BBE" w:rsidRDefault="007A3BBE"/>
    <w:sectPr w:rsidR="007A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5F65"/>
    <w:multiLevelType w:val="multilevel"/>
    <w:tmpl w:val="BCB4E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25"/>
    <w:rsid w:val="003D4525"/>
    <w:rsid w:val="007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525"/>
    <w:pPr>
      <w:spacing w:after="255" w:line="825" w:lineRule="atLeast"/>
      <w:outlineLvl w:val="0"/>
    </w:pPr>
    <w:rPr>
      <w:rFonts w:ascii="Lucida Sans Unicode" w:eastAsia="Times New Roman" w:hAnsi="Lucida Sans Unicode" w:cs="Lucida Sans Unicode"/>
      <w:color w:val="353535"/>
      <w:kern w:val="36"/>
      <w:sz w:val="75"/>
      <w:szCs w:val="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525"/>
    <w:rPr>
      <w:rFonts w:ascii="Lucida Sans Unicode" w:eastAsia="Times New Roman" w:hAnsi="Lucida Sans Unicode" w:cs="Lucida Sans Unicode"/>
      <w:color w:val="353535"/>
      <w:kern w:val="36"/>
      <w:sz w:val="75"/>
      <w:szCs w:val="75"/>
    </w:rPr>
  </w:style>
  <w:style w:type="character" w:styleId="Emphasis">
    <w:name w:val="Emphasis"/>
    <w:basedOn w:val="DefaultParagraphFont"/>
    <w:uiPriority w:val="20"/>
    <w:qFormat/>
    <w:rsid w:val="003D4525"/>
    <w:rPr>
      <w:i/>
      <w:iCs/>
      <w:color w:val="434142"/>
    </w:rPr>
  </w:style>
  <w:style w:type="character" w:styleId="Strong">
    <w:name w:val="Strong"/>
    <w:basedOn w:val="DefaultParagraphFont"/>
    <w:uiPriority w:val="22"/>
    <w:qFormat/>
    <w:rsid w:val="003D45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4525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525"/>
    <w:pPr>
      <w:spacing w:after="255" w:line="825" w:lineRule="atLeast"/>
      <w:outlineLvl w:val="0"/>
    </w:pPr>
    <w:rPr>
      <w:rFonts w:ascii="Lucida Sans Unicode" w:eastAsia="Times New Roman" w:hAnsi="Lucida Sans Unicode" w:cs="Lucida Sans Unicode"/>
      <w:color w:val="353535"/>
      <w:kern w:val="36"/>
      <w:sz w:val="75"/>
      <w:szCs w:val="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525"/>
    <w:rPr>
      <w:rFonts w:ascii="Lucida Sans Unicode" w:eastAsia="Times New Roman" w:hAnsi="Lucida Sans Unicode" w:cs="Lucida Sans Unicode"/>
      <w:color w:val="353535"/>
      <w:kern w:val="36"/>
      <w:sz w:val="75"/>
      <w:szCs w:val="75"/>
    </w:rPr>
  </w:style>
  <w:style w:type="character" w:styleId="Emphasis">
    <w:name w:val="Emphasis"/>
    <w:basedOn w:val="DefaultParagraphFont"/>
    <w:uiPriority w:val="20"/>
    <w:qFormat/>
    <w:rsid w:val="003D4525"/>
    <w:rPr>
      <w:i/>
      <w:iCs/>
      <w:color w:val="434142"/>
    </w:rPr>
  </w:style>
  <w:style w:type="character" w:styleId="Strong">
    <w:name w:val="Strong"/>
    <w:basedOn w:val="DefaultParagraphFont"/>
    <w:uiPriority w:val="22"/>
    <w:qFormat/>
    <w:rsid w:val="003D45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4525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8677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5466</Characters>
  <Application>Microsoft Office Word</Application>
  <DocSecurity>0</DocSecurity>
  <Lines>45</Lines>
  <Paragraphs>12</Paragraphs>
  <ScaleCrop>false</ScaleCrop>
  <Company>Hewlett-Packard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2017-05-22T09:50:00Z</dcterms:created>
  <dcterms:modified xsi:type="dcterms:W3CDTF">2017-05-22T09:51:00Z</dcterms:modified>
</cp:coreProperties>
</file>