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3A" w:rsidRDefault="00B8244D">
      <w:pPr>
        <w:spacing w:after="0" w:line="259" w:lineRule="auto"/>
        <w:ind w:left="0" w:right="3" w:firstLine="0"/>
        <w:jc w:val="center"/>
      </w:pPr>
      <w:r>
        <w:rPr>
          <w:b/>
        </w:rPr>
        <w:t xml:space="preserve">ANALISIS KORELASI PRODUCT MOMENT PEARSON </w:t>
      </w:r>
    </w:p>
    <w:p w:rsidR="00EE4D3A" w:rsidRDefault="00B8244D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EE4D3A" w:rsidRDefault="00B8244D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EE4D3A" w:rsidRDefault="00B8244D">
      <w:pPr>
        <w:pStyle w:val="Heading1"/>
        <w:ind w:left="-5" w:right="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Pengertian </w:t>
      </w:r>
    </w:p>
    <w:p w:rsidR="00EE4D3A" w:rsidRDefault="00B8244D">
      <w:pPr>
        <w:ind w:left="333"/>
      </w:pPr>
      <w:r>
        <w:t xml:space="preserve">Korelasi adalah istilah statistik yang menyatakan derajat hubungan linier (searah bukan timbal balik) antara dua variabel atau lebih. </w:t>
      </w:r>
    </w:p>
    <w:p w:rsidR="00EE4D3A" w:rsidRDefault="00B8244D">
      <w:pPr>
        <w:spacing w:after="0" w:line="259" w:lineRule="auto"/>
        <w:ind w:left="338" w:firstLine="0"/>
      </w:pPr>
      <w:r>
        <w:t xml:space="preserve"> </w:t>
      </w:r>
    </w:p>
    <w:p w:rsidR="00EE4D3A" w:rsidRDefault="00B8244D">
      <w:pPr>
        <w:pStyle w:val="Heading1"/>
        <w:ind w:left="-5" w:right="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Macam-macam Teknik Korelasi </w:t>
      </w:r>
    </w:p>
    <w:p w:rsidR="00EE4D3A" w:rsidRDefault="00B8244D">
      <w:pPr>
        <w:numPr>
          <w:ilvl w:val="0"/>
          <w:numId w:val="1"/>
        </w:numPr>
        <w:ind w:left="589" w:hanging="266"/>
      </w:pPr>
      <w:r>
        <w:t xml:space="preserve">Product Moment Pearson : Kedua variabelnya berskala interval </w:t>
      </w:r>
    </w:p>
    <w:p w:rsidR="00EE4D3A" w:rsidRDefault="00B8244D">
      <w:pPr>
        <w:numPr>
          <w:ilvl w:val="0"/>
          <w:numId w:val="1"/>
        </w:numPr>
        <w:ind w:left="589" w:hanging="266"/>
      </w:pPr>
      <w:r>
        <w:t xml:space="preserve">Rank Spearman </w:t>
      </w:r>
      <w:r>
        <w:tab/>
        <w:t xml:space="preserve">: Kedua variabelnya berskala ordinal </w:t>
      </w:r>
    </w:p>
    <w:p w:rsidR="00EE4D3A" w:rsidRDefault="00B8244D">
      <w:pPr>
        <w:numPr>
          <w:ilvl w:val="0"/>
          <w:numId w:val="1"/>
        </w:numPr>
        <w:ind w:left="589" w:hanging="266"/>
      </w:pPr>
      <w:r>
        <w:t xml:space="preserve">Point Serial </w:t>
      </w:r>
      <w:r>
        <w:tab/>
        <w:t xml:space="preserve">: Satu berskala nominal sebenarnya dan satu berskala interval </w:t>
      </w:r>
    </w:p>
    <w:p w:rsidR="00EE4D3A" w:rsidRDefault="00B8244D">
      <w:pPr>
        <w:numPr>
          <w:ilvl w:val="0"/>
          <w:numId w:val="1"/>
        </w:numPr>
        <w:ind w:left="589" w:hanging="266"/>
      </w:pPr>
      <w:r>
        <w:t xml:space="preserve">Biserial </w:t>
      </w:r>
      <w:r>
        <w:tab/>
        <w:t>: Satu berskala nominal buatan dan satu berskala inter</w:t>
      </w:r>
      <w:r>
        <w:t xml:space="preserve">val </w:t>
      </w:r>
    </w:p>
    <w:p w:rsidR="00EE4D3A" w:rsidRDefault="00B8244D">
      <w:pPr>
        <w:numPr>
          <w:ilvl w:val="0"/>
          <w:numId w:val="1"/>
        </w:numPr>
        <w:ind w:left="589" w:hanging="266"/>
      </w:pPr>
      <w:r>
        <w:t xml:space="preserve">Koefisien kontingensi </w:t>
      </w:r>
      <w:r>
        <w:tab/>
        <w:t xml:space="preserve">: Kedua varibelnya berskala nominal </w:t>
      </w:r>
    </w:p>
    <w:p w:rsidR="00EE4D3A" w:rsidRDefault="00B8244D">
      <w:pPr>
        <w:spacing w:after="0" w:line="259" w:lineRule="auto"/>
        <w:ind w:left="338" w:firstLine="0"/>
      </w:pPr>
      <w:r>
        <w:t xml:space="preserve"> </w:t>
      </w:r>
    </w:p>
    <w:p w:rsidR="00EE4D3A" w:rsidRDefault="00B8244D">
      <w:pPr>
        <w:pStyle w:val="Heading1"/>
        <w:ind w:left="-5" w:right="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Kegunaan Korelasi Product Moment Pearson </w:t>
      </w:r>
    </w:p>
    <w:p w:rsidR="00EE4D3A" w:rsidRDefault="00B8244D">
      <w:pPr>
        <w:numPr>
          <w:ilvl w:val="0"/>
          <w:numId w:val="2"/>
        </w:numPr>
        <w:ind w:hanging="340"/>
      </w:pPr>
      <w:r>
        <w:t xml:space="preserve">Untuk menyatakan ada atau tidaknya hubungan antara variabel X dengan variabel Y. </w:t>
      </w:r>
    </w:p>
    <w:p w:rsidR="00EE4D3A" w:rsidRDefault="00B8244D">
      <w:pPr>
        <w:numPr>
          <w:ilvl w:val="0"/>
          <w:numId w:val="2"/>
        </w:numPr>
        <w:ind w:hanging="340"/>
      </w:pPr>
      <w:r>
        <w:t>Untuk menyatakan besarnya sumbangan variabel satu terhadap yan</w:t>
      </w:r>
      <w:r>
        <w:t xml:space="preserve">g lainnya yang dinyatakan dalam persen.  </w:t>
      </w:r>
    </w:p>
    <w:p w:rsidR="00EE4D3A" w:rsidRDefault="00B8244D">
      <w:pPr>
        <w:spacing w:after="0" w:line="259" w:lineRule="auto"/>
        <w:ind w:left="338" w:firstLine="0"/>
      </w:pPr>
      <w:r>
        <w:t xml:space="preserve"> </w:t>
      </w:r>
    </w:p>
    <w:p w:rsidR="00EE4D3A" w:rsidRDefault="00B8244D">
      <w:pPr>
        <w:pStyle w:val="Heading1"/>
        <w:ind w:left="-5" w:right="0"/>
      </w:pPr>
      <w:r>
        <w:t>d.</w:t>
      </w:r>
      <w:r>
        <w:rPr>
          <w:rFonts w:ascii="Arial" w:eastAsia="Arial" w:hAnsi="Arial" w:cs="Arial"/>
        </w:rPr>
        <w:t xml:space="preserve"> </w:t>
      </w:r>
      <w:r>
        <w:t xml:space="preserve">Asumsi </w:t>
      </w:r>
    </w:p>
    <w:p w:rsidR="00EE4D3A" w:rsidRDefault="00B8244D">
      <w:pPr>
        <w:numPr>
          <w:ilvl w:val="0"/>
          <w:numId w:val="3"/>
        </w:numPr>
        <w:ind w:hanging="340"/>
      </w:pPr>
      <w:r>
        <w:t xml:space="preserve">Data berdistribusi Normal </w:t>
      </w:r>
    </w:p>
    <w:p w:rsidR="00EE4D3A" w:rsidRDefault="00B8244D">
      <w:pPr>
        <w:numPr>
          <w:ilvl w:val="0"/>
          <w:numId w:val="3"/>
        </w:numPr>
        <w:ind w:hanging="340"/>
      </w:pPr>
      <w:r>
        <w:t xml:space="preserve">Variabel yang dihubungkan mempunyai data linear. </w:t>
      </w:r>
    </w:p>
    <w:p w:rsidR="00EE4D3A" w:rsidRDefault="00B8244D">
      <w:pPr>
        <w:numPr>
          <w:ilvl w:val="0"/>
          <w:numId w:val="3"/>
        </w:numPr>
        <w:ind w:hanging="340"/>
      </w:pPr>
      <w:r>
        <w:t xml:space="preserve">Variabel yang dihubungkan mempunyai data yang dipilih secara acak. </w:t>
      </w:r>
    </w:p>
    <w:p w:rsidR="00EE4D3A" w:rsidRDefault="00B8244D">
      <w:pPr>
        <w:numPr>
          <w:ilvl w:val="0"/>
          <w:numId w:val="3"/>
        </w:numPr>
        <w:ind w:hanging="340"/>
      </w:pPr>
      <w:r>
        <w:t xml:space="preserve">Variabel yang dihubungkan mempunyai pasangan yang sama dari subyek yang sama pula (variasi skor variabel yang dihubungkan harus sama). </w:t>
      </w:r>
    </w:p>
    <w:p w:rsidR="00EE4D3A" w:rsidRDefault="00B8244D">
      <w:pPr>
        <w:numPr>
          <w:ilvl w:val="0"/>
          <w:numId w:val="3"/>
        </w:numPr>
        <w:ind w:hanging="340"/>
      </w:pPr>
      <w:r>
        <w:t xml:space="preserve">Variabel yang dihubungkan mempunyai data interval atau rasio. </w:t>
      </w:r>
    </w:p>
    <w:p w:rsidR="00EE4D3A" w:rsidRDefault="00B8244D">
      <w:pPr>
        <w:spacing w:after="0" w:line="259" w:lineRule="auto"/>
        <w:ind w:left="338" w:firstLine="0"/>
      </w:pPr>
      <w:r>
        <w:t xml:space="preserve"> </w:t>
      </w:r>
    </w:p>
    <w:p w:rsidR="00EE4D3A" w:rsidRDefault="00B8244D">
      <w:pPr>
        <w:pStyle w:val="Heading1"/>
        <w:ind w:left="-5" w:right="0"/>
      </w:pPr>
      <w:r>
        <w:t>e.</w:t>
      </w:r>
      <w:r>
        <w:rPr>
          <w:rFonts w:ascii="Arial" w:eastAsia="Arial" w:hAnsi="Arial" w:cs="Arial"/>
        </w:rPr>
        <w:t xml:space="preserve"> </w:t>
      </w:r>
      <w:r>
        <w:t xml:space="preserve">Nilai r </w:t>
      </w:r>
    </w:p>
    <w:p w:rsidR="00EE4D3A" w:rsidRDefault="00B8244D">
      <w:pPr>
        <w:numPr>
          <w:ilvl w:val="0"/>
          <w:numId w:val="4"/>
        </w:numPr>
        <w:ind w:left="643" w:hanging="320"/>
      </w:pPr>
      <w:r>
        <w:t>Nilai r terbesar adalah +1 dan r terkecil a</w:t>
      </w:r>
      <w:r>
        <w:t xml:space="preserve">dalah –1. r = +1 menunjukkan hubungan positip sempurna, sedangkan r = -1 menunjukkan hubungan negatip sempurna. </w:t>
      </w:r>
    </w:p>
    <w:p w:rsidR="00EE4D3A" w:rsidRDefault="00B8244D">
      <w:pPr>
        <w:numPr>
          <w:ilvl w:val="0"/>
          <w:numId w:val="4"/>
        </w:numPr>
        <w:ind w:left="643" w:hanging="320"/>
      </w:pPr>
      <w:r>
        <w:t xml:space="preserve">r tidak mempunyai satuan atau dimensi. Tanda + atau - hanya menunjukkan arah hubungan. Intrepretasi nilai r adalah sebagai berikut: </w:t>
      </w:r>
    </w:p>
    <w:p w:rsidR="00EE4D3A" w:rsidRDefault="00B8244D">
      <w:pPr>
        <w:spacing w:after="0" w:line="259" w:lineRule="auto"/>
        <w:ind w:left="659" w:firstLine="0"/>
      </w:pPr>
      <w:r>
        <w:t xml:space="preserve"> </w:t>
      </w:r>
    </w:p>
    <w:tbl>
      <w:tblPr>
        <w:tblStyle w:val="TableGrid"/>
        <w:tblW w:w="5067" w:type="dxa"/>
        <w:tblInd w:w="1334" w:type="dxa"/>
        <w:tblCellMar>
          <w:top w:w="12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666"/>
      </w:tblGrid>
      <w:tr w:rsidR="00EE4D3A">
        <w:trPr>
          <w:trHeight w:val="27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r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Inter</w:t>
            </w:r>
            <w:r>
              <w:rPr>
                <w:b/>
              </w:rPr>
              <w:t xml:space="preserve">pretasi </w:t>
            </w:r>
          </w:p>
        </w:tc>
      </w:tr>
      <w:tr w:rsidR="00EE4D3A">
        <w:trPr>
          <w:trHeight w:val="182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0 </w:t>
            </w:r>
          </w:p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0,01-0,20 </w:t>
            </w:r>
          </w:p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0,21-0,40 </w:t>
            </w:r>
          </w:p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0,41-0,60 </w:t>
            </w:r>
          </w:p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0,61-0,80 </w:t>
            </w:r>
          </w:p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0,81-0,99 </w:t>
            </w:r>
          </w:p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1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0" w:firstLine="0"/>
            </w:pPr>
            <w:r>
              <w:t xml:space="preserve">Tidak berkorelasi </w:t>
            </w:r>
          </w:p>
          <w:p w:rsidR="00EE4D3A" w:rsidRDefault="00B8244D">
            <w:pPr>
              <w:spacing w:after="0" w:line="259" w:lineRule="auto"/>
              <w:ind w:left="0" w:firstLine="0"/>
            </w:pPr>
            <w:r>
              <w:t xml:space="preserve">Korelasi Sangat rendah </w:t>
            </w:r>
          </w:p>
          <w:p w:rsidR="00EE4D3A" w:rsidRDefault="00B8244D">
            <w:pPr>
              <w:spacing w:after="0" w:line="259" w:lineRule="auto"/>
              <w:ind w:left="0" w:firstLine="0"/>
            </w:pPr>
            <w:r>
              <w:t xml:space="preserve">Rendah </w:t>
            </w:r>
          </w:p>
          <w:p w:rsidR="00EE4D3A" w:rsidRDefault="00B8244D">
            <w:pPr>
              <w:spacing w:after="0" w:line="259" w:lineRule="auto"/>
              <w:ind w:left="0" w:firstLine="0"/>
            </w:pPr>
            <w:r>
              <w:t xml:space="preserve">Agak rendah </w:t>
            </w:r>
          </w:p>
          <w:p w:rsidR="00EE4D3A" w:rsidRDefault="00B8244D">
            <w:pPr>
              <w:spacing w:after="0" w:line="239" w:lineRule="auto"/>
              <w:ind w:left="0" w:right="1190" w:firstLine="0"/>
            </w:pPr>
            <w:r>
              <w:t xml:space="preserve">Cukup Tinggi </w:t>
            </w:r>
          </w:p>
          <w:p w:rsidR="00EE4D3A" w:rsidRDefault="00B8244D">
            <w:pPr>
              <w:spacing w:after="0" w:line="259" w:lineRule="auto"/>
              <w:ind w:left="0" w:firstLine="0"/>
            </w:pPr>
            <w:r>
              <w:t xml:space="preserve">Sangat tinggi </w:t>
            </w:r>
          </w:p>
        </w:tc>
      </w:tr>
    </w:tbl>
    <w:p w:rsidR="00EE4D3A" w:rsidRDefault="00B8244D">
      <w:pPr>
        <w:spacing w:after="0" w:line="259" w:lineRule="auto"/>
        <w:ind w:left="659" w:firstLine="0"/>
      </w:pPr>
      <w:r>
        <w:t xml:space="preserve"> </w:t>
      </w:r>
    </w:p>
    <w:p w:rsidR="00EE4D3A" w:rsidRDefault="00B8244D">
      <w:pPr>
        <w:pStyle w:val="Heading1"/>
        <w:ind w:left="-5" w:right="0"/>
      </w:pPr>
      <w:r>
        <w:t>f.</w:t>
      </w:r>
      <w:r>
        <w:rPr>
          <w:rFonts w:ascii="Arial" w:eastAsia="Arial" w:hAnsi="Arial" w:cs="Arial"/>
        </w:rPr>
        <w:t xml:space="preserve"> </w:t>
      </w:r>
      <w:r>
        <w:t xml:space="preserve">Langkah-langkah Menghitung Koefisien Korelasi Parsial </w:t>
      </w:r>
    </w:p>
    <w:p w:rsidR="00EE4D3A" w:rsidRDefault="00EE4D3A">
      <w:pPr>
        <w:spacing w:after="0" w:line="259" w:lineRule="auto"/>
        <w:ind w:left="678" w:firstLine="0"/>
      </w:pPr>
    </w:p>
    <w:tbl>
      <w:tblPr>
        <w:tblStyle w:val="TableGrid"/>
        <w:tblW w:w="7016" w:type="dxa"/>
        <w:tblInd w:w="667" w:type="dxa"/>
        <w:tblCellMar>
          <w:top w:w="0" w:type="dxa"/>
          <w:left w:w="101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149"/>
        <w:gridCol w:w="1067"/>
        <w:gridCol w:w="1333"/>
        <w:gridCol w:w="1201"/>
        <w:gridCol w:w="1199"/>
        <w:gridCol w:w="1067"/>
      </w:tblGrid>
      <w:tr w:rsidR="00EE4D3A">
        <w:trPr>
          <w:trHeight w:val="2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62" w:firstLine="0"/>
            </w:pPr>
            <w:r>
              <w:t xml:space="preserve">No. resp.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5" w:firstLine="0"/>
              <w:jc w:val="center"/>
            </w:pPr>
            <w:r>
              <w:t xml:space="preserve">X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4" w:firstLine="0"/>
              <w:jc w:val="center"/>
            </w:pPr>
            <w:r>
              <w:t xml:space="preserve">Y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2" w:firstLine="0"/>
              <w:jc w:val="center"/>
            </w:pPr>
            <w:r>
              <w:t xml:space="preserve">XY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3" w:firstLine="0"/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3" w:firstLine="0"/>
              <w:jc w:val="center"/>
            </w:pPr>
            <w:r>
              <w:t>Y</w:t>
            </w:r>
            <w:r>
              <w:rPr>
                <w:sz w:val="15"/>
              </w:rPr>
              <w:t xml:space="preserve">2 </w:t>
            </w:r>
          </w:p>
        </w:tc>
      </w:tr>
      <w:tr w:rsidR="00EE4D3A">
        <w:trPr>
          <w:trHeight w:val="26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E4D3A">
        <w:trPr>
          <w:trHeight w:val="269"/>
        </w:trPr>
        <w:tc>
          <w:tcPr>
            <w:tcW w:w="114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E4D3A" w:rsidRDefault="00B8244D">
      <w:pPr>
        <w:spacing w:after="0" w:line="259" w:lineRule="auto"/>
        <w:ind w:left="678" w:firstLine="0"/>
      </w:pPr>
      <w:r>
        <w:lastRenderedPageBreak/>
        <w:t xml:space="preserve"> </w:t>
      </w:r>
    </w:p>
    <w:p w:rsidR="00EE4D3A" w:rsidRDefault="00B8244D">
      <w:pPr>
        <w:numPr>
          <w:ilvl w:val="0"/>
          <w:numId w:val="5"/>
        </w:numPr>
        <w:ind w:hanging="340"/>
      </w:pPr>
      <w:r>
        <w:t xml:space="preserve">Cari r </w:t>
      </w:r>
      <w:r>
        <w:rPr>
          <w:vertAlign w:val="subscript"/>
        </w:rPr>
        <w:t>hitung</w:t>
      </w:r>
      <w:r>
        <w:t xml:space="preserve">. </w:t>
      </w:r>
    </w:p>
    <w:p w:rsidR="00EE4D3A" w:rsidRDefault="00EE4D3A" w:rsidP="00C376D0">
      <w:pPr>
        <w:spacing w:after="168" w:line="259" w:lineRule="auto"/>
        <w:ind w:left="663" w:firstLine="0"/>
      </w:pPr>
    </w:p>
    <w:p w:rsidR="003D5FDD" w:rsidRDefault="003D5FDD" w:rsidP="003D5FDD">
      <w:pPr>
        <w:spacing w:after="168" w:line="259" w:lineRule="auto"/>
        <w:ind w:left="1701" w:firstLine="0"/>
      </w:pPr>
      <w:r>
        <w:rPr>
          <w:noProof/>
        </w:rPr>
        <w:drawing>
          <wp:inline distT="0" distB="0" distL="0" distR="0">
            <wp:extent cx="3924300" cy="930910"/>
            <wp:effectExtent l="0" t="0" r="0" b="2540"/>
            <wp:docPr id="1" name="Picture 1" descr="https://ardra.biz/wp-content/uploads/2011/08/pears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dra.biz/wp-content/uploads/2011/08/pearso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38" cy="9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3A" w:rsidRDefault="00B8244D">
      <w:pPr>
        <w:ind w:left="333"/>
      </w:pPr>
      <w:r>
        <w:t xml:space="preserve">Contoh: </w:t>
      </w:r>
    </w:p>
    <w:p w:rsidR="00EE4D3A" w:rsidRDefault="00B8244D">
      <w:pPr>
        <w:numPr>
          <w:ilvl w:val="0"/>
          <w:numId w:val="6"/>
        </w:numPr>
        <w:ind w:hanging="340"/>
      </w:pPr>
      <w:r>
        <w:t xml:space="preserve">Tulis Ho dan Ha dalam bentuk kalimat. </w:t>
      </w:r>
    </w:p>
    <w:p w:rsidR="00EE4D3A" w:rsidRDefault="00B8244D">
      <w:pPr>
        <w:ind w:left="1200" w:hanging="522"/>
      </w:pPr>
      <w:r>
        <w:t xml:space="preserve">Ho : Tidak terdapat hubungan yang positip dan signifikan antara variabel Biaya Promosi dengan Nilai Penjualan. </w:t>
      </w:r>
    </w:p>
    <w:p w:rsidR="00EE4D3A" w:rsidRDefault="00B8244D">
      <w:pPr>
        <w:ind w:left="1200" w:hanging="522"/>
      </w:pPr>
      <w:r>
        <w:t xml:space="preserve">Ha : Terdapat hubungan yang positip dan signifikan antara variabel Biaya Promosi dengan Nilai Penjualan. </w:t>
      </w:r>
    </w:p>
    <w:p w:rsidR="00EE4D3A" w:rsidRDefault="00B8244D">
      <w:pPr>
        <w:numPr>
          <w:ilvl w:val="0"/>
          <w:numId w:val="6"/>
        </w:numPr>
        <w:ind w:hanging="340"/>
      </w:pPr>
      <w:r>
        <w:t>Tulis Ho dan Ha dalam bentuk statistik</w:t>
      </w:r>
      <w:r>
        <w:t xml:space="preserve">. Ho : r = 0. Ha : r </w:t>
      </w:r>
      <w:r>
        <w:rPr>
          <w:rFonts w:ascii="Segoe UI Symbol" w:eastAsia="Segoe UI Symbol" w:hAnsi="Segoe UI Symbol" w:cs="Segoe UI Symbol"/>
        </w:rPr>
        <w:t>≠</w:t>
      </w:r>
      <w:r>
        <w:t xml:space="preserve"> 0. </w:t>
      </w:r>
    </w:p>
    <w:p w:rsidR="00EE4D3A" w:rsidRDefault="00B8244D">
      <w:pPr>
        <w:numPr>
          <w:ilvl w:val="0"/>
          <w:numId w:val="6"/>
        </w:numPr>
        <w:ind w:hanging="340"/>
      </w:pPr>
      <w:r>
        <w:t xml:space="preserve">Buat tabel penolong sebagai berikut: </w:t>
      </w:r>
    </w:p>
    <w:tbl>
      <w:tblPr>
        <w:tblStyle w:val="TableGrid"/>
        <w:tblW w:w="7741" w:type="dxa"/>
        <w:tblInd w:w="667" w:type="dxa"/>
        <w:tblCellMar>
          <w:top w:w="13" w:type="dxa"/>
          <w:left w:w="15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660"/>
        <w:gridCol w:w="1642"/>
        <w:gridCol w:w="1638"/>
        <w:gridCol w:w="1335"/>
        <w:gridCol w:w="1466"/>
      </w:tblGrid>
      <w:tr w:rsidR="00EE4D3A">
        <w:trPr>
          <w:trHeight w:val="48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Nilai Penjualan Y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Biaya Promosi X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3A" w:rsidRDefault="00B8244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XY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>X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>Y</w:t>
            </w:r>
            <w:r>
              <w:rPr>
                <w:sz w:val="13"/>
              </w:rPr>
              <w:t xml:space="preserve">2 </w:t>
            </w:r>
          </w:p>
        </w:tc>
      </w:tr>
      <w:tr w:rsidR="00EE4D3A">
        <w:trPr>
          <w:trHeight w:val="191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64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61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84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70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88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92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72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77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20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16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34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23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27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32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18 </w:t>
            </w:r>
          </w:p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E4D3A" w:rsidRDefault="00B8244D">
            <w:pPr>
              <w:spacing w:after="1" w:line="238" w:lineRule="auto"/>
              <w:ind w:left="301" w:right="302" w:firstLine="0"/>
              <w:jc w:val="center"/>
            </w:pPr>
            <w:r>
              <w:rPr>
                <w:sz w:val="21"/>
              </w:rPr>
              <w:t xml:space="preserve">1280 976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2856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1610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2376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2944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1296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1694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400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256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1156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529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729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1024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324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484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4096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3721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7056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4900 </w:t>
            </w:r>
          </w:p>
          <w:p w:rsidR="00EE4D3A" w:rsidRDefault="00B8244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7744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8464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5184 </w:t>
            </w:r>
          </w:p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 xml:space="preserve">5929 </w:t>
            </w:r>
          </w:p>
        </w:tc>
      </w:tr>
      <w:tr w:rsidR="00EE4D3A">
        <w:trPr>
          <w:trHeight w:val="263"/>
        </w:trPr>
        <w:tc>
          <w:tcPr>
            <w:tcW w:w="16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Σ</w:t>
            </w:r>
            <w:r>
              <w:rPr>
                <w:sz w:val="21"/>
              </w:rPr>
              <w:t xml:space="preserve"> Y = 608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Σ</w:t>
            </w:r>
            <w:r>
              <w:rPr>
                <w:sz w:val="21"/>
              </w:rPr>
              <w:t xml:space="preserve"> X = 192 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3A" w:rsidRDefault="00B8244D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Σ</w:t>
            </w:r>
            <w:r>
              <w:rPr>
                <w:sz w:val="21"/>
              </w:rPr>
              <w:t xml:space="preserve"> XY = 15032 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1"/>
              </w:rPr>
              <w:t>Σ</w:t>
            </w:r>
            <w:r>
              <w:rPr>
                <w:sz w:val="21"/>
              </w:rPr>
              <w:t xml:space="preserve"> X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 xml:space="preserve"> = 4902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E4D3A" w:rsidRDefault="00B8244D">
            <w:pPr>
              <w:spacing w:after="0" w:line="259" w:lineRule="auto"/>
              <w:ind w:left="13" w:firstLine="0"/>
            </w:pPr>
            <w:r>
              <w:rPr>
                <w:rFonts w:ascii="Segoe UI Symbol" w:eastAsia="Segoe UI Symbol" w:hAnsi="Segoe UI Symbol" w:cs="Segoe UI Symbol"/>
                <w:sz w:val="21"/>
              </w:rPr>
              <w:t>Σ</w:t>
            </w:r>
            <w:r>
              <w:rPr>
                <w:sz w:val="21"/>
              </w:rPr>
              <w:t xml:space="preserve"> Y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 xml:space="preserve"> = 47094 </w:t>
            </w:r>
          </w:p>
        </w:tc>
      </w:tr>
    </w:tbl>
    <w:p w:rsidR="00EE4D3A" w:rsidRDefault="00B8244D">
      <w:pPr>
        <w:spacing w:after="14" w:line="259" w:lineRule="auto"/>
        <w:ind w:left="678" w:firstLine="0"/>
      </w:pPr>
      <w:r>
        <w:t xml:space="preserve"> </w:t>
      </w:r>
    </w:p>
    <w:p w:rsidR="00EE4D3A" w:rsidRDefault="00B8244D">
      <w:pPr>
        <w:numPr>
          <w:ilvl w:val="0"/>
          <w:numId w:val="6"/>
        </w:numPr>
        <w:ind w:hanging="340"/>
      </w:pPr>
      <w:r>
        <w:t xml:space="preserve">Cari r </w:t>
      </w:r>
      <w:r>
        <w:rPr>
          <w:vertAlign w:val="subscript"/>
        </w:rPr>
        <w:t>hitung</w:t>
      </w:r>
      <w:r>
        <w:t xml:space="preserve">. </w:t>
      </w:r>
    </w:p>
    <w:p w:rsidR="00EE4D3A" w:rsidRDefault="00EE4D3A" w:rsidP="003D5FDD">
      <w:pPr>
        <w:spacing w:after="167" w:line="259" w:lineRule="auto"/>
        <w:ind w:left="663" w:firstLine="0"/>
      </w:pPr>
    </w:p>
    <w:p w:rsidR="003D5FDD" w:rsidRDefault="00B8244D" w:rsidP="003D5FDD">
      <w:pPr>
        <w:spacing w:after="167" w:line="259" w:lineRule="auto"/>
        <w:ind w:left="1701" w:firstLine="0"/>
      </w:pPr>
      <w:r w:rsidRPr="003D5FDD">
        <w:object w:dxaOrig="2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91pt;height:48.5pt" o:ole="">
            <v:imagedata r:id="rId6" o:title=""/>
          </v:shape>
          <o:OLEObject Type="Embed" ProgID="Equation.3" ShapeID="_x0000_i1048" DrawAspect="Content" ObjectID="_1647635652" r:id="rId7"/>
        </w:object>
      </w:r>
    </w:p>
    <w:p w:rsidR="003D5FDD" w:rsidRPr="003D5FDD" w:rsidRDefault="003D5FDD" w:rsidP="003D5FDD">
      <w:pPr>
        <w:spacing w:after="167" w:line="259" w:lineRule="auto"/>
        <w:rPr>
          <w:sz w:val="24"/>
          <w:szCs w:val="24"/>
        </w:rPr>
      </w:pPr>
      <w:r w:rsidRPr="003D5FDD">
        <w:rPr>
          <w:sz w:val="24"/>
          <w:szCs w:val="24"/>
        </w:rPr>
        <w:t xml:space="preserve">Atau </w:t>
      </w:r>
    </w:p>
    <w:p w:rsidR="003D5FDD" w:rsidRDefault="003D5FDD" w:rsidP="003D5FDD">
      <w:pPr>
        <w:spacing w:after="167" w:line="259" w:lineRule="auto"/>
        <w:ind w:left="1560" w:firstLine="0"/>
      </w:pPr>
      <w:r>
        <w:rPr>
          <w:noProof/>
        </w:rPr>
        <w:drawing>
          <wp:inline distT="0" distB="0" distL="0" distR="0" wp14:anchorId="73FB18CA" wp14:editId="02F2E4CA">
            <wp:extent cx="4284980" cy="577850"/>
            <wp:effectExtent l="0" t="0" r="1270" b="0"/>
            <wp:docPr id="3" name="Picture 3" descr="https://ardra.biz/wp-content/uploads/2011/08/pears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dra.biz/wp-content/uploads/2011/08/pearso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227" cy="5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4D" w:rsidRDefault="00B8244D" w:rsidP="00B8244D">
      <w:pPr>
        <w:spacing w:after="0" w:line="240" w:lineRule="auto"/>
        <w:ind w:left="1560" w:firstLine="0"/>
      </w:pPr>
    </w:p>
    <w:p w:rsidR="003D5FDD" w:rsidRDefault="00B8244D" w:rsidP="00B8244D">
      <w:pPr>
        <w:spacing w:after="0" w:line="240" w:lineRule="auto"/>
        <w:ind w:left="1560" w:firstLine="0"/>
      </w:pPr>
      <w:r>
        <w:t xml:space="preserve">                     </w:t>
      </w:r>
      <w:r w:rsidR="003D5FDD">
        <w:t>8(15,032) – (192)608)</w:t>
      </w:r>
    </w:p>
    <w:p w:rsidR="003D5FDD" w:rsidRDefault="00B8244D" w:rsidP="00B8244D">
      <w:pPr>
        <w:spacing w:after="0" w:line="240" w:lineRule="auto"/>
        <w:ind w:left="1701" w:firstLine="0"/>
      </w:pPr>
      <w:r>
        <w:t xml:space="preserve">r = </w:t>
      </w:r>
      <w:r w:rsidR="003D5FDD">
        <w:t>----------------</w:t>
      </w:r>
      <w:r>
        <w:t>-----------------</w:t>
      </w:r>
      <w:r w:rsidR="003D5FDD">
        <w:t>-----------</w:t>
      </w:r>
    </w:p>
    <w:p w:rsidR="003D5FDD" w:rsidRDefault="00B8244D" w:rsidP="00B8244D">
      <w:pPr>
        <w:spacing w:after="0" w:line="240" w:lineRule="auto"/>
        <w:ind w:left="2127" w:firstLine="0"/>
      </w:pPr>
      <w:r w:rsidRPr="003D5FDD">
        <w:rPr>
          <w:position w:val="-12"/>
        </w:rPr>
        <w:object w:dxaOrig="1880" w:dyaOrig="440">
          <v:shape id="_x0000_i1073" type="#_x0000_t75" style="width:81.5pt;height:22pt" o:ole="">
            <v:imagedata r:id="rId9" o:title=""/>
          </v:shape>
          <o:OLEObject Type="Embed" ProgID="Equation.3" ShapeID="_x0000_i1073" DrawAspect="Content" ObjectID="_1647635653" r:id="rId10"/>
        </w:object>
      </w:r>
      <w:r w:rsidRPr="003D5FDD">
        <w:rPr>
          <w:position w:val="-12"/>
        </w:rPr>
        <w:object w:dxaOrig="2040" w:dyaOrig="440">
          <v:shape id="_x0000_i1076" type="#_x0000_t75" style="width:90.5pt;height:22pt" o:ole="">
            <v:imagedata r:id="rId11" o:title=""/>
          </v:shape>
          <o:OLEObject Type="Embed" ProgID="Equation.3" ShapeID="_x0000_i1076" DrawAspect="Content" ObjectID="_1647635654" r:id="rId12"/>
        </w:object>
      </w:r>
    </w:p>
    <w:p w:rsidR="00B8244D" w:rsidRDefault="00B8244D">
      <w:pPr>
        <w:tabs>
          <w:tab w:val="center" w:pos="678"/>
          <w:tab w:val="center" w:pos="1645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 </w:t>
      </w:r>
    </w:p>
    <w:p w:rsidR="00EE4D3A" w:rsidRDefault="00B8244D" w:rsidP="00B8244D">
      <w:pPr>
        <w:tabs>
          <w:tab w:val="center" w:pos="678"/>
          <w:tab w:val="center" w:pos="1645"/>
        </w:tabs>
        <w:ind w:left="0" w:firstLine="0"/>
      </w:pPr>
      <w:r>
        <w:t xml:space="preserve">                                = 0,86</w:t>
      </w:r>
      <w:bookmarkStart w:id="0" w:name="_GoBack"/>
      <w:bookmarkEnd w:id="0"/>
    </w:p>
    <w:sectPr w:rsidR="00EE4D3A">
      <w:pgSz w:w="12240" w:h="15840"/>
      <w:pgMar w:top="1074" w:right="1582" w:bottom="1098" w:left="1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A65"/>
    <w:multiLevelType w:val="hybridMultilevel"/>
    <w:tmpl w:val="001C942E"/>
    <w:lvl w:ilvl="0" w:tplc="3FDC4792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1AF2F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52C3FC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B0AB86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54C12C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A4CCB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9AB98A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24A5EE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0C703E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C57BB"/>
    <w:multiLevelType w:val="hybridMultilevel"/>
    <w:tmpl w:val="DC7AB738"/>
    <w:lvl w:ilvl="0" w:tplc="7B82C2C4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AEA364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8282D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4CBB3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DA1D3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84011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DAD93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F27824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38F3AA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A55CD2"/>
    <w:multiLevelType w:val="hybridMultilevel"/>
    <w:tmpl w:val="804EBCC4"/>
    <w:lvl w:ilvl="0" w:tplc="5AA24C82">
      <w:start w:val="1"/>
      <w:numFmt w:val="bullet"/>
      <w:lvlText w:val="•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900536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1211E8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40A3C2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3EA24C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547576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B65434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00BBAA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369942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A7D44"/>
    <w:multiLevelType w:val="hybridMultilevel"/>
    <w:tmpl w:val="FC8E71BE"/>
    <w:lvl w:ilvl="0" w:tplc="193EBAF6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E0656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DA23E0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BA7186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0A74F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1022DC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A291B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578E5AA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EA5CB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A1AE0"/>
    <w:multiLevelType w:val="hybridMultilevel"/>
    <w:tmpl w:val="89C6DC7C"/>
    <w:lvl w:ilvl="0" w:tplc="0E424E40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9F6BC1E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22D530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289AB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D8908E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42DE1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28AFF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9C31B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5496C6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61A77"/>
    <w:multiLevelType w:val="hybridMultilevel"/>
    <w:tmpl w:val="D65ACC0C"/>
    <w:lvl w:ilvl="0" w:tplc="68C8189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E6F11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8610F4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EE889A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ECE2A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5239A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22270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AE5F42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C0FBCA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3A"/>
    <w:rsid w:val="003D5FDD"/>
    <w:rsid w:val="00B8244D"/>
    <w:rsid w:val="00C376D0"/>
    <w:rsid w:val="00E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47AA"/>
  <w15:docId w15:val="{82C9013B-778E-497D-846D-B38DE0EA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348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Korelasi Product Moment.doc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Korelasi Product Moment.doc</dc:title>
  <dc:subject/>
  <dc:creator>yzr</dc:creator>
  <cp:keywords/>
  <cp:lastModifiedBy>ASUS</cp:lastModifiedBy>
  <cp:revision>2</cp:revision>
  <dcterms:created xsi:type="dcterms:W3CDTF">2020-04-05T16:48:00Z</dcterms:created>
  <dcterms:modified xsi:type="dcterms:W3CDTF">2020-04-05T16:48:00Z</dcterms:modified>
</cp:coreProperties>
</file>