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A6" w:rsidRDefault="00A622A6" w:rsidP="00A622A6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22A6">
        <w:rPr>
          <w:rFonts w:asciiTheme="majorBidi" w:hAnsiTheme="majorBidi" w:cstheme="majorBidi"/>
          <w:b/>
          <w:sz w:val="24"/>
          <w:szCs w:val="24"/>
        </w:rPr>
        <w:t>HASIL REVISI UU ITE TAHUN 2016</w:t>
      </w:r>
    </w:p>
    <w:p w:rsidR="00A622A6" w:rsidRPr="00A622A6" w:rsidRDefault="00A622A6" w:rsidP="00A622A6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Untuk mengurangi multitafsir dan menghindari abuse of power terhadap ketentuan larangan mendistribusikan dan/atau mentransmisikan dan/atau membuat dapat diaksesnya Informasi Elektronik bermuatan penghinaan dan/atau pencemaran nama baik yang diatur dalam Pasal 27 ayat (3) Jo Pasal 45 ayat (1) UU ITE, dilakukan dilakukan 4 (empat) perubahan sebagai berikut: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Menambahkan penjelasan atas istilah “mendistribusikan, mentransmisikan dan membuat dapat diaksesnya Informasi Elektronik dan/atau Dokumen Elektronik”.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Menegaskan bahwa ketentuan tesebut adalah delik aduan bukan delik umum.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 xml:space="preserve"> Menegaskan bahwa ketentuan tersebut mengacu pada ketentuan pencemaran nama baik dan fitnah yang diatur dalam KUHP.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Menurunkan ancaman pidana dari maksimal 6 (enam) tahun penjara dan denda Rp 1 miliar menjadi 4 (empat) tahun dan denda Rp 750 juta.</w:t>
      </w: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Melaksanakan putusan Mahkamah Konstitusi terhadap 2 (dua) ketentuan sebagai berikut: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Mengubah ketentuan Pasal 31 ayat (4) yang semula mengamanatkan pengaturan tata cara intersepsi atau penyadapan dalam Peraturan Pemerintah menjadi dalam Undang-Undang.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Menambahkan penjelasan pada ketentuan Pasal 5 ayat (1) dan ayat (2) mengenai keberadaan Informasi Elektronik dan/atau Dokumen Elektronik sebagai alat bukti hukum yang sah.</w:t>
      </w: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Melakukan sinkronisasi ketentuan hukum acara dengan ketentuan hukum acara pada KUHAP, sebagai berikut: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Ketentuan Pasal 43 ayat (3) mengenai Penggeledahan dan/atau penyitaan yang semula harus mendapatkan izin Ketua Pengadilan Negeri setempat, disesuaikan kembali dengan ketentuan KUHAP.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Ketentuan Pasal 43 ayat (6) mengenai penangkapan penahanan yang semula harus meminta penetapan ketua Pengadilan Negeri setempat dalam waktu 1x24 jam, disesuaikan kembali dengan ketentuan KUHAP.</w:t>
      </w: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Memperkuat peran Penyidik Pegawai Negeri Sipil (PPNS) UU ITE pada ketentuan Pasal 43 ayat (5):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lastRenderedPageBreak/>
        <w:t>Kewenangan membatasi atau memutuskan akses terkait dengan tindak pidana teknologi informasi pada ketentuan Pasal 43 ayat (5) huruf h; dan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Kewenangan meminta informasi terkait tindak pidana teknologi informasi dari Penyelenggara Sistem Elektronik pada ketentuan Pasal 43 ayat (5) huruf i.</w:t>
      </w: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Menambahkan ketentuan mengenai “the right to be forgotten” atau “hak untuk dilupakan” pada ketentuan Pasal 26, sebagai berikut: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Setiap Penyelenggara Sistem Elektronik wajib menghapus Informasi Elektronik dan/atau Dokumen Elektronik yang tidak relevan yang berada di bawah kendalinya atas permintaan orang yang bersangkutan berdasarkan penetapan pengadilan.</w:t>
      </w:r>
      <w:bookmarkStart w:id="0" w:name="_GoBack"/>
      <w:bookmarkEnd w:id="0"/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 xml:space="preserve"> Setiap Penyelenggara Sistem Elektronik wajib menyediakan mekanisme penghapusan Informasi Elektronik dan/atau Dokumen Elektronik  yang sudah tidak relevan sesuai dengan ketentuan peraturan perundang-undangan.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Ketentuan mengenai tata cara penghapusan Informasi Elektronik dan/atau Dokumen Elektronik diatur lebih lanjut dalam Peraturan Pemerintah.</w:t>
      </w:r>
    </w:p>
    <w:p w:rsidR="0076533D" w:rsidRPr="00FE1D51" w:rsidRDefault="0076533D" w:rsidP="00A622A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Memperkuat peran Pemerintah dalam memberikan perlindungan dari segala jenis gangguan akibat penyalahgunaan informasi dan  transaksi elektronik dengan menyisipkan kewenangan tambahan pada ketentuan Pasal 40: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Pemerintah wajib melakukan pencegahan penyebarluasan dan penggunaan Informasi Elektronik dan/atau Dokumen Elektronik yang memiliki muatan yang dilarang, sesuai ketentuan Peraturan Perundang-Undangan.</w:t>
      </w:r>
    </w:p>
    <w:p w:rsidR="00FE1D51" w:rsidRPr="00FE1D51" w:rsidRDefault="00FE1D51" w:rsidP="00A622A6">
      <w:pPr>
        <w:pStyle w:val="ListParagraph"/>
        <w:numPr>
          <w:ilvl w:val="1"/>
          <w:numId w:val="3"/>
        </w:numPr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E1D51">
        <w:rPr>
          <w:rFonts w:asciiTheme="majorBidi" w:hAnsiTheme="majorBidi" w:cstheme="majorBidi"/>
          <w:sz w:val="24"/>
          <w:szCs w:val="24"/>
        </w:rPr>
        <w:t>Dalam melakukan pencegahan, Pemerintah berwenang melakukan pemutusan akses dan/atau memerintahkan kepada Penyelenggara Sistem Elektronik untuk melakukan pemutusan akses terhadap Informasi Elektronik dan/atau Dokumen Elektronik yang memiliki muatan yang melanggar hukum.</w:t>
      </w:r>
    </w:p>
    <w:p w:rsidR="00F81CA4" w:rsidRPr="00FE1D51" w:rsidRDefault="00F81CA4" w:rsidP="00A622A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81CA4" w:rsidRPr="00FE1D51" w:rsidSect="00F8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33E"/>
    <w:multiLevelType w:val="hybridMultilevel"/>
    <w:tmpl w:val="80E431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1213"/>
    <w:multiLevelType w:val="hybridMultilevel"/>
    <w:tmpl w:val="1AA804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FEB"/>
    <w:multiLevelType w:val="hybridMultilevel"/>
    <w:tmpl w:val="CD6E8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3D"/>
    <w:rsid w:val="00647F78"/>
    <w:rsid w:val="0076533D"/>
    <w:rsid w:val="00880D08"/>
    <w:rsid w:val="008D7E40"/>
    <w:rsid w:val="00903524"/>
    <w:rsid w:val="00A622A6"/>
    <w:rsid w:val="00F81CA4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ASPIRE4349</dc:creator>
  <cp:lastModifiedBy>D2J-00</cp:lastModifiedBy>
  <cp:revision>2</cp:revision>
  <cp:lastPrinted>2016-12-20T05:40:00Z</cp:lastPrinted>
  <dcterms:created xsi:type="dcterms:W3CDTF">2016-12-20T06:24:00Z</dcterms:created>
  <dcterms:modified xsi:type="dcterms:W3CDTF">2016-12-20T06:24:00Z</dcterms:modified>
</cp:coreProperties>
</file>